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8C53D3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г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0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</w:t>
      </w:r>
      <w:r w:rsidR="004C280D">
        <w:rPr>
          <w:rFonts w:ascii="Liberation Serif" w:hAnsi="Liberation Serif"/>
          <w:b/>
          <w:i/>
          <w:sz w:val="28"/>
          <w:szCs w:val="28"/>
        </w:rPr>
        <w:t>2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</w:t>
      </w:r>
      <w:r w:rsidR="004C280D">
        <w:rPr>
          <w:rFonts w:ascii="Liberation Serif" w:hAnsi="Liberation Serif"/>
          <w:sz w:val="28"/>
          <w:szCs w:val="28"/>
        </w:rPr>
        <w:t>от 06 октября 2003 года  № 131-</w:t>
      </w:r>
      <w:r w:rsidRPr="004C280D">
        <w:rPr>
          <w:rFonts w:ascii="Liberation Serif" w:hAnsi="Liberation Serif"/>
          <w:sz w:val="28"/>
          <w:szCs w:val="28"/>
        </w:rPr>
        <w:t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22</w:t>
      </w:r>
      <w:r w:rsidRPr="004C280D">
        <w:rPr>
          <w:rFonts w:ascii="Liberation Serif" w:hAnsi="Liberation Serif"/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</w:t>
      </w:r>
      <w:r w:rsidR="004C280D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водоснабжения, обеспечить исправность дорог и  подъездов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полос  по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13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21</w:t>
      </w:r>
      <w:r w:rsidRPr="004C280D">
        <w:rPr>
          <w:rFonts w:ascii="Liberation Serif" w:hAnsi="Liberation Serif"/>
          <w:sz w:val="28"/>
          <w:szCs w:val="28"/>
        </w:rPr>
        <w:t xml:space="preserve"> г. № </w:t>
      </w:r>
      <w:r w:rsidR="002C657C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21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7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2C657C">
        <w:rPr>
          <w:rFonts w:ascii="Liberation Serif" w:hAnsi="Liberation Serif"/>
          <w:sz w:val="28"/>
          <w:szCs w:val="28"/>
        </w:rPr>
        <w:t>А.С.Лукин</w:t>
      </w:r>
      <w:proofErr w:type="spellEnd"/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Усть-Ницинского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8C53D3">
        <w:rPr>
          <w:rFonts w:ascii="Liberation Serif" w:hAnsi="Liberation Serif"/>
          <w:sz w:val="28"/>
          <w:szCs w:val="28"/>
        </w:rPr>
        <w:t xml:space="preserve">          от 00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7E699F">
        <w:rPr>
          <w:rFonts w:ascii="Liberation Serif" w:hAnsi="Liberation Serif"/>
          <w:sz w:val="28"/>
          <w:szCs w:val="28"/>
        </w:rPr>
        <w:t>2</w:t>
      </w:r>
      <w:r w:rsidR="008C53D3">
        <w:rPr>
          <w:rFonts w:ascii="Liberation Serif" w:hAnsi="Liberation Serif"/>
          <w:sz w:val="28"/>
          <w:szCs w:val="28"/>
        </w:rPr>
        <w:t xml:space="preserve"> г. № 0</w:t>
      </w:r>
      <w:r w:rsidR="002C657C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2C657C">
        <w:rPr>
          <w:rFonts w:ascii="Liberation Serif" w:hAnsi="Liberation Serif"/>
          <w:b/>
          <w:i/>
          <w:sz w:val="28"/>
          <w:szCs w:val="28"/>
        </w:rPr>
        <w:t>2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администрации, участковые уполномоченные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Определить 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дежурство водителей автомобильной и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очистку 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на  информационных  щитах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Проверить подготовку муниципального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МУП «Жилкомсервис»,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8C53D3">
        <w:rPr>
          <w:rFonts w:ascii="Liberation Serif" w:hAnsi="Liberation Serif"/>
          <w:sz w:val="28"/>
          <w:szCs w:val="28"/>
        </w:rPr>
        <w:t>00</w:t>
      </w:r>
      <w:r w:rsidR="007E699F">
        <w:rPr>
          <w:rFonts w:ascii="Liberation Serif" w:hAnsi="Liberation Serif"/>
          <w:sz w:val="28"/>
          <w:szCs w:val="28"/>
        </w:rPr>
        <w:t xml:space="preserve">.01.2022 г. </w:t>
      </w:r>
      <w:r w:rsidRPr="004C280D">
        <w:rPr>
          <w:rFonts w:ascii="Liberation Serif" w:hAnsi="Liberation Serif"/>
          <w:sz w:val="28"/>
          <w:szCs w:val="28"/>
        </w:rPr>
        <w:t xml:space="preserve">№ </w:t>
      </w:r>
      <w:r w:rsidR="008C53D3">
        <w:rPr>
          <w:rFonts w:ascii="Liberation Serif" w:hAnsi="Liberation Serif"/>
          <w:sz w:val="28"/>
          <w:szCs w:val="28"/>
        </w:rPr>
        <w:t>0</w:t>
      </w:r>
      <w:bookmarkStart w:id="0" w:name="_GoBack"/>
      <w:bookmarkEnd w:id="0"/>
      <w:r w:rsidR="007E699F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>глава  Усть-Ницинского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председатель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Огиевич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 - </w:t>
      </w:r>
      <w:r w:rsidR="00AD5628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>аместитель главы администрации  Усть-Ницинского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 xml:space="preserve">начальник  ПЧ  12/7 </w:t>
      </w:r>
      <w:r>
        <w:rPr>
          <w:rFonts w:ascii="Liberation Serif" w:hAnsi="Liberation Serif"/>
          <w:sz w:val="28"/>
          <w:szCs w:val="28"/>
        </w:rPr>
        <w:t xml:space="preserve">с. Усть-Ницинское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</w:t>
      </w:r>
      <w:proofErr w:type="gramStart"/>
      <w:r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- </w:t>
      </w:r>
      <w:r w:rsidR="00482756" w:rsidRPr="004C280D">
        <w:rPr>
          <w:rFonts w:ascii="Liberation Serif" w:hAnsi="Liberation Serif"/>
          <w:sz w:val="28"/>
          <w:szCs w:val="28"/>
        </w:rPr>
        <w:t>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Соболева Л.Л.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специалист 1 кат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82756"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="00482756"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П.А</w:t>
      </w:r>
      <w:r w:rsidR="00AD5628">
        <w:rPr>
          <w:rFonts w:ascii="Liberation Serif" w:hAnsi="Liberation Serif"/>
          <w:sz w:val="28"/>
          <w:szCs w:val="28"/>
        </w:rPr>
        <w:t xml:space="preserve">.  -    </w:t>
      </w:r>
      <w:r w:rsidR="00482756" w:rsidRPr="004C280D">
        <w:rPr>
          <w:rFonts w:ascii="Liberation Serif" w:hAnsi="Liberation Serif"/>
          <w:sz w:val="28"/>
          <w:szCs w:val="28"/>
        </w:rPr>
        <w:t>директор МУП «Север»;</w:t>
      </w:r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«Жилкомсервис»;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Дорошенко С.А. – директор МБУК «Усть-Ницинский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участковый  уполномоченный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1"/>
    <w:rsid w:val="000C4FE3"/>
    <w:rsid w:val="002C657C"/>
    <w:rsid w:val="00482756"/>
    <w:rsid w:val="004C280D"/>
    <w:rsid w:val="00516345"/>
    <w:rsid w:val="007E699F"/>
    <w:rsid w:val="008C53D3"/>
    <w:rsid w:val="00AD562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0</cp:lastModifiedBy>
  <cp:revision>4</cp:revision>
  <cp:lastPrinted>2022-01-21T11:03:00Z</cp:lastPrinted>
  <dcterms:created xsi:type="dcterms:W3CDTF">2022-01-21T10:51:00Z</dcterms:created>
  <dcterms:modified xsi:type="dcterms:W3CDTF">2022-02-02T09:45:00Z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